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83597" w14:textId="7BCAB995" w:rsidR="0080067D" w:rsidRDefault="00B860E5" w:rsidP="00B860E5">
      <w:pPr>
        <w:jc w:val="center"/>
      </w:pPr>
      <w:r w:rsidRPr="00B860E5">
        <w:rPr>
          <w:noProof/>
        </w:rPr>
        <w:drawing>
          <wp:inline distT="0" distB="0" distL="0" distR="0" wp14:anchorId="54376734" wp14:editId="0E625BC6">
            <wp:extent cx="1245792" cy="1280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81" cy="1282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B14BB" w14:textId="77777777" w:rsidR="00B860E5" w:rsidRPr="00B860E5" w:rsidRDefault="00B860E5" w:rsidP="00B860E5">
      <w:pPr>
        <w:jc w:val="center"/>
        <w:rPr>
          <w:rFonts w:asciiTheme="minorBidi" w:hAnsiTheme="minorBidi"/>
          <w:b/>
          <w:bCs/>
          <w:sz w:val="28"/>
          <w:szCs w:val="28"/>
        </w:rPr>
      </w:pPr>
      <w:r w:rsidRPr="00B860E5">
        <w:rPr>
          <w:rFonts w:asciiTheme="minorBidi" w:hAnsiTheme="minorBidi"/>
          <w:b/>
          <w:bCs/>
          <w:sz w:val="28"/>
          <w:szCs w:val="28"/>
        </w:rPr>
        <w:t>Position Vacancy IIJ</w:t>
      </w:r>
    </w:p>
    <w:p w14:paraId="2B3E7BC5" w14:textId="7183381B" w:rsidR="00B860E5" w:rsidRDefault="00B860E5" w:rsidP="00B860E5">
      <w:pPr>
        <w:jc w:val="center"/>
        <w:rPr>
          <w:rFonts w:asciiTheme="minorBidi" w:hAnsiTheme="minorBidi"/>
          <w:b/>
          <w:bCs/>
          <w:sz w:val="28"/>
          <w:szCs w:val="28"/>
        </w:rPr>
      </w:pPr>
      <w:r w:rsidRPr="00B860E5">
        <w:rPr>
          <w:rFonts w:asciiTheme="minorBidi" w:hAnsiTheme="minorBidi"/>
          <w:b/>
          <w:bCs/>
          <w:sz w:val="28"/>
          <w:szCs w:val="28"/>
        </w:rPr>
        <w:t>Administrative Assistant</w:t>
      </w:r>
    </w:p>
    <w:p w14:paraId="4CE8E078" w14:textId="77777777" w:rsidR="003E6004" w:rsidRDefault="003E6004" w:rsidP="00B860E5">
      <w:pPr>
        <w:rPr>
          <w:rFonts w:asciiTheme="minorBidi" w:hAnsiTheme="minorBidi"/>
          <w:b/>
          <w:bCs/>
          <w:sz w:val="28"/>
          <w:szCs w:val="28"/>
        </w:rPr>
      </w:pPr>
    </w:p>
    <w:p w14:paraId="4A349A81" w14:textId="0997B743" w:rsidR="00B860E5" w:rsidRPr="002D2098" w:rsidRDefault="002D2098" w:rsidP="00B860E5">
      <w:pPr>
        <w:rPr>
          <w:rFonts w:asciiTheme="minorBidi" w:hAnsiTheme="minorBidi"/>
          <w:b/>
          <w:bCs/>
          <w:color w:val="FF0000"/>
          <w:sz w:val="24"/>
          <w:szCs w:val="24"/>
          <w:lang w:val="mt-MT"/>
        </w:rPr>
      </w:pPr>
      <w:r>
        <w:rPr>
          <w:rFonts w:asciiTheme="minorBidi" w:hAnsiTheme="minorBidi"/>
          <w:b/>
          <w:bCs/>
          <w:color w:val="FF0000"/>
          <w:sz w:val="24"/>
          <w:szCs w:val="24"/>
          <w:lang w:val="mt-MT"/>
        </w:rPr>
        <w:t>ABOUT THE IIJ</w:t>
      </w:r>
    </w:p>
    <w:p w14:paraId="13DCBEC8" w14:textId="2138D975" w:rsidR="002D2098" w:rsidRPr="002D2098" w:rsidRDefault="002D2098" w:rsidP="002D2098">
      <w:pPr>
        <w:spacing w:line="256" w:lineRule="auto"/>
        <w:rPr>
          <w:rFonts w:ascii="Arial" w:hAnsi="Arial" w:cs="Arial"/>
          <w:lang w:val="en-GB"/>
        </w:rPr>
      </w:pPr>
      <w:r w:rsidRPr="002D2098">
        <w:rPr>
          <w:rFonts w:ascii="Arial" w:hAnsi="Arial" w:cs="Arial"/>
          <w:lang w:val="en-GB"/>
        </w:rPr>
        <w:t xml:space="preserve">The International Institute for Justice and the Rule of Law (IIJ) </w:t>
      </w:r>
      <w:proofErr w:type="gramStart"/>
      <w:r w:rsidRPr="002D2098">
        <w:rPr>
          <w:rFonts w:ascii="Arial" w:hAnsi="Arial" w:cs="Arial"/>
          <w:lang w:val="en-GB"/>
        </w:rPr>
        <w:t>is located in</w:t>
      </w:r>
      <w:proofErr w:type="gramEnd"/>
      <w:r w:rsidRPr="002D2098">
        <w:rPr>
          <w:rFonts w:ascii="Arial" w:hAnsi="Arial" w:cs="Arial"/>
          <w:lang w:val="en-GB"/>
        </w:rPr>
        <w:t xml:space="preserve"> Malta with a mission to deliver innovative and sustainable capacity-building through the implementation of counter-terrorism-related, rule of law-based good practices developed by the Global Counterterrorism Forum (GCTF) and other international and regional fora.</w:t>
      </w:r>
    </w:p>
    <w:p w14:paraId="48CC218F" w14:textId="5A3056C5" w:rsidR="003A7109" w:rsidRPr="003A7109" w:rsidRDefault="002D2098" w:rsidP="003A7109">
      <w:pPr>
        <w:spacing w:line="256" w:lineRule="auto"/>
        <w:jc w:val="both"/>
        <w:rPr>
          <w:rFonts w:ascii="Arial" w:hAnsi="Arial" w:cs="Arial"/>
          <w:lang w:val="en-GB"/>
        </w:rPr>
      </w:pPr>
      <w:r w:rsidRPr="002D2098">
        <w:rPr>
          <w:rFonts w:ascii="Arial" w:hAnsi="Arial" w:cs="Arial"/>
          <w:lang w:val="en-GB"/>
        </w:rPr>
        <w:t xml:space="preserve">Since its inauguration in 2014, the IIJ has trained more than 7000 criminal justice practitioners through its interactive capacity-building workshops – in Malta and abroad – that enhance the competencies of parliamentarians, judges, prosecutors, police, </w:t>
      </w:r>
      <w:proofErr w:type="gramStart"/>
      <w:r w:rsidRPr="002D2098">
        <w:rPr>
          <w:rFonts w:ascii="Arial" w:hAnsi="Arial" w:cs="Arial"/>
          <w:lang w:val="en-GB"/>
        </w:rPr>
        <w:t>prison</w:t>
      </w:r>
      <w:proofErr w:type="gramEnd"/>
      <w:r w:rsidRPr="002D2098">
        <w:rPr>
          <w:rFonts w:ascii="Arial" w:hAnsi="Arial" w:cs="Arial"/>
          <w:lang w:val="en-GB"/>
        </w:rPr>
        <w:t xml:space="preserve"> and other criminal justice practitioners to address terrorism and related transnational criminal activities within a rule of law framework. The IIJ delivers capacity-building training tailored to the needs of the regions it serves, including North, West and East Africa; the Middle East; and select engagement in the Balkans, and Central, South and Southeast Asia. For more information on the IIJ, please visit the IIJ’s website </w:t>
      </w:r>
      <w:hyperlink r:id="rId6" w:history="1">
        <w:r w:rsidRPr="00482713">
          <w:rPr>
            <w:rStyle w:val="Hyperlink"/>
            <w:rFonts w:ascii="Arial" w:hAnsi="Arial" w:cs="Arial"/>
            <w:lang w:val="en-GB"/>
          </w:rPr>
          <w:t>www.theiij.org</w:t>
        </w:r>
      </w:hyperlink>
    </w:p>
    <w:p w14:paraId="5DA027DC" w14:textId="77777777" w:rsidR="00B860E5" w:rsidRPr="00B860E5" w:rsidRDefault="00B860E5" w:rsidP="00B860E5">
      <w:pPr>
        <w:rPr>
          <w:rFonts w:asciiTheme="minorBidi" w:hAnsiTheme="minorBidi"/>
          <w:b/>
          <w:bCs/>
          <w:color w:val="FF0000"/>
          <w:sz w:val="24"/>
          <w:szCs w:val="24"/>
        </w:rPr>
      </w:pPr>
      <w:r w:rsidRPr="00B860E5">
        <w:rPr>
          <w:rFonts w:asciiTheme="minorBidi" w:hAnsiTheme="minorBidi"/>
          <w:b/>
          <w:bCs/>
          <w:color w:val="FF0000"/>
          <w:sz w:val="24"/>
          <w:szCs w:val="24"/>
        </w:rPr>
        <w:t xml:space="preserve">ACADEMIC UNIT BACKGROUND </w:t>
      </w:r>
    </w:p>
    <w:p w14:paraId="4DFAE04C" w14:textId="3D8071A9" w:rsidR="00EB4702" w:rsidRPr="008728F4" w:rsidRDefault="00EB4702" w:rsidP="00EB4702">
      <w:pPr>
        <w:pStyle w:val="BodyText"/>
        <w:ind w:right="26"/>
        <w:rPr>
          <w:rFonts w:ascii="Arial" w:eastAsiaTheme="minorHAnsi" w:hAnsi="Arial" w:cs="Arial"/>
          <w:bCs w:val="0"/>
          <w:color w:val="auto"/>
          <w:sz w:val="22"/>
          <w:szCs w:val="22"/>
          <w:lang w:val="en-MT"/>
        </w:rPr>
      </w:pPr>
      <w:r w:rsidRPr="008728F4">
        <w:rPr>
          <w:rFonts w:ascii="Arial" w:eastAsiaTheme="minorHAnsi" w:hAnsi="Arial" w:cs="Arial"/>
          <w:bCs w:val="0"/>
          <w:color w:val="auto"/>
          <w:sz w:val="22"/>
          <w:szCs w:val="22"/>
          <w:lang w:val="en-MT"/>
        </w:rPr>
        <w:t xml:space="preserve">The IIJ has developed a reputation for impactful capacity-building for criminal justice practitioners challenged with fast-evolving threats to international security. Following this success, the IIJ launched in 2020 an Academic Unit to provide in-depth courses to criminal justice practitioners aimed at filling critical knowledge gaps necessary for successfully countering terrorism and transnational crime. </w:t>
      </w:r>
    </w:p>
    <w:p w14:paraId="0CFF0E18" w14:textId="40030EA9" w:rsidR="003E6004" w:rsidRPr="008728F4" w:rsidRDefault="00EB4702" w:rsidP="00EB4702">
      <w:pPr>
        <w:pStyle w:val="BodyText"/>
        <w:rPr>
          <w:rFonts w:ascii="Arial" w:eastAsiaTheme="minorHAnsi" w:hAnsi="Arial" w:cs="Arial"/>
          <w:bCs w:val="0"/>
          <w:color w:val="auto"/>
          <w:sz w:val="22"/>
          <w:szCs w:val="22"/>
          <w:lang w:val="en-MT"/>
        </w:rPr>
      </w:pPr>
      <w:r w:rsidRPr="008728F4">
        <w:rPr>
          <w:rFonts w:ascii="Arial" w:eastAsiaTheme="minorHAnsi" w:hAnsi="Arial" w:cs="Arial"/>
          <w:bCs w:val="0"/>
          <w:color w:val="auto"/>
          <w:sz w:val="22"/>
          <w:szCs w:val="22"/>
          <w:lang w:val="en-MT"/>
        </w:rPr>
        <w:t>The Academic Unit is making a major contribution to the IIJ’s ecosystem of learning through foundational education and provides a resource for maintaining and expanding specialist knowledge in key geographic and thematic areas, in line with the IIJ mission and vision.</w:t>
      </w:r>
    </w:p>
    <w:p w14:paraId="565C20BC" w14:textId="31C23675" w:rsidR="00B860E5" w:rsidRPr="00AD106B" w:rsidRDefault="00B860E5" w:rsidP="008D4A5F">
      <w:pPr>
        <w:jc w:val="both"/>
        <w:rPr>
          <w:rFonts w:asciiTheme="minorBidi" w:hAnsiTheme="minorBidi"/>
          <w:b/>
          <w:bCs/>
          <w:color w:val="FF0000"/>
          <w:sz w:val="24"/>
          <w:szCs w:val="24"/>
          <w:lang w:val="mt-MT"/>
        </w:rPr>
      </w:pPr>
      <w:r w:rsidRPr="00B860E5">
        <w:rPr>
          <w:rFonts w:asciiTheme="minorBidi" w:hAnsiTheme="minorBidi"/>
          <w:b/>
          <w:bCs/>
          <w:color w:val="FF0000"/>
          <w:sz w:val="24"/>
          <w:szCs w:val="24"/>
        </w:rPr>
        <w:t>POSITION</w:t>
      </w:r>
      <w:r w:rsidR="00AD106B">
        <w:rPr>
          <w:rFonts w:asciiTheme="minorBidi" w:hAnsiTheme="minorBidi"/>
          <w:b/>
          <w:bCs/>
          <w:color w:val="FF0000"/>
          <w:sz w:val="24"/>
          <w:szCs w:val="24"/>
          <w:lang w:val="mt-MT"/>
        </w:rPr>
        <w:t xml:space="preserve"> DESCRIPTION</w:t>
      </w:r>
    </w:p>
    <w:p w14:paraId="7A4DBBC8" w14:textId="0B1A63C2" w:rsidR="00A87DA4" w:rsidRPr="00A87DA4" w:rsidRDefault="00A87DA4" w:rsidP="008D4A5F">
      <w:pPr>
        <w:jc w:val="both"/>
        <w:rPr>
          <w:rFonts w:ascii="Arial" w:hAnsi="Arial" w:cs="Arial"/>
        </w:rPr>
      </w:pPr>
      <w:r w:rsidRPr="00A87DA4">
        <w:rPr>
          <w:rFonts w:ascii="Arial" w:hAnsi="Arial" w:cs="Arial"/>
        </w:rPr>
        <w:t>Under the overall guidance of the IIJ Executive Secretary, and the direct supervision of the Director of the Academic Unit</w:t>
      </w:r>
      <w:r w:rsidR="00933A2C">
        <w:rPr>
          <w:rFonts w:ascii="Arial" w:hAnsi="Arial" w:cs="Arial"/>
          <w:lang w:val="en-US"/>
        </w:rPr>
        <w:t xml:space="preserve"> and Director of Administration and Outreach</w:t>
      </w:r>
      <w:r w:rsidRPr="00A87DA4">
        <w:rPr>
          <w:rFonts w:ascii="Arial" w:hAnsi="Arial" w:cs="Arial"/>
        </w:rPr>
        <w:t xml:space="preserve">, the </w:t>
      </w:r>
      <w:r>
        <w:rPr>
          <w:rFonts w:ascii="Arial" w:hAnsi="Arial" w:cs="Arial"/>
          <w:lang w:val="en-US"/>
        </w:rPr>
        <w:t>Administrative</w:t>
      </w:r>
      <w:r w:rsidRPr="00A87DA4">
        <w:rPr>
          <w:rFonts w:ascii="Arial" w:hAnsi="Arial" w:cs="Arial"/>
        </w:rPr>
        <w:t xml:space="preserve"> Assistant will be an integral part of a dynamic and multi-national team. The IIJ is a highly collaborative environment, the </w:t>
      </w:r>
      <w:r>
        <w:rPr>
          <w:rFonts w:ascii="Arial" w:hAnsi="Arial" w:cs="Arial"/>
          <w:lang w:val="en-US"/>
        </w:rPr>
        <w:t>Administrative</w:t>
      </w:r>
      <w:r w:rsidRPr="00A87DA4">
        <w:rPr>
          <w:rFonts w:ascii="Arial" w:hAnsi="Arial" w:cs="Arial"/>
        </w:rPr>
        <w:t xml:space="preserve"> Assistant will work in the</w:t>
      </w:r>
      <w:r>
        <w:rPr>
          <w:rFonts w:ascii="Arial" w:hAnsi="Arial" w:cs="Arial"/>
          <w:lang w:val="en-US"/>
        </w:rPr>
        <w:t xml:space="preserve"> </w:t>
      </w:r>
      <w:r w:rsidRPr="00A87DA4">
        <w:rPr>
          <w:rFonts w:ascii="Arial" w:hAnsi="Arial" w:cs="Arial"/>
        </w:rPr>
        <w:t>Academic Unit</w:t>
      </w:r>
      <w:r>
        <w:rPr>
          <w:rFonts w:ascii="Arial" w:hAnsi="Arial" w:cs="Arial"/>
          <w:lang w:val="en-US"/>
        </w:rPr>
        <w:t>, and</w:t>
      </w:r>
      <w:r w:rsidRPr="00A87DA4">
        <w:rPr>
          <w:rFonts w:ascii="Arial" w:hAnsi="Arial" w:cs="Arial"/>
        </w:rPr>
        <w:t xml:space="preserve"> in close collaboration with the Administrative </w:t>
      </w:r>
      <w:r w:rsidR="00933A2C">
        <w:rPr>
          <w:rFonts w:ascii="Arial" w:hAnsi="Arial" w:cs="Arial"/>
          <w:lang w:val="en-US"/>
        </w:rPr>
        <w:t xml:space="preserve">and Outreach </w:t>
      </w:r>
      <w:r w:rsidRPr="00A87DA4">
        <w:rPr>
          <w:rFonts w:ascii="Arial" w:hAnsi="Arial" w:cs="Arial"/>
        </w:rPr>
        <w:t>Unit, on the preparatory and delivery phases of each course included in the Academic Unit’s syllabus.</w:t>
      </w:r>
    </w:p>
    <w:p w14:paraId="4A6E6C22" w14:textId="09373144" w:rsidR="00A87DA4" w:rsidRDefault="00A87DA4" w:rsidP="008D4A5F">
      <w:pPr>
        <w:jc w:val="both"/>
        <w:rPr>
          <w:rFonts w:asciiTheme="minorBidi" w:hAnsiTheme="minorBidi"/>
          <w:b/>
          <w:bCs/>
          <w:color w:val="FF0000"/>
          <w:sz w:val="24"/>
          <w:szCs w:val="24"/>
        </w:rPr>
      </w:pPr>
    </w:p>
    <w:p w14:paraId="2569BA2C" w14:textId="77777777" w:rsidR="00A87DA4" w:rsidRPr="00B860E5" w:rsidRDefault="00A87DA4" w:rsidP="008D4A5F">
      <w:pPr>
        <w:jc w:val="both"/>
        <w:rPr>
          <w:rFonts w:asciiTheme="minorBidi" w:hAnsiTheme="minorBidi"/>
          <w:b/>
          <w:bCs/>
          <w:color w:val="FF0000"/>
          <w:sz w:val="24"/>
          <w:szCs w:val="24"/>
        </w:rPr>
      </w:pPr>
    </w:p>
    <w:p w14:paraId="506A225E" w14:textId="6C0424D7" w:rsidR="00493382" w:rsidRPr="008728F4" w:rsidRDefault="00B860E5" w:rsidP="008D4A5F">
      <w:pPr>
        <w:jc w:val="both"/>
        <w:rPr>
          <w:rFonts w:ascii="Arial" w:hAnsi="Arial" w:cs="Arial"/>
        </w:rPr>
      </w:pPr>
      <w:r w:rsidRPr="008728F4">
        <w:rPr>
          <w:rFonts w:ascii="Arial" w:hAnsi="Arial" w:cs="Arial"/>
        </w:rPr>
        <w:lastRenderedPageBreak/>
        <w:t>Duties and responsibilities will include:</w:t>
      </w:r>
    </w:p>
    <w:p w14:paraId="52F4FD46" w14:textId="47C74F96" w:rsidR="00493382" w:rsidRDefault="00493382" w:rsidP="008D4A5F">
      <w:pPr>
        <w:jc w:val="both"/>
        <w:rPr>
          <w:rFonts w:asciiTheme="minorBidi" w:hAnsiTheme="minorBidi"/>
          <w:b/>
          <w:bCs/>
          <w:lang w:val="en-GB"/>
        </w:rPr>
      </w:pPr>
      <w:r w:rsidRPr="00493382">
        <w:rPr>
          <w:rFonts w:asciiTheme="minorBidi" w:hAnsiTheme="minorBidi"/>
          <w:b/>
          <w:bCs/>
          <w:lang w:val="en-GB"/>
        </w:rPr>
        <w:t>General Administration</w:t>
      </w:r>
    </w:p>
    <w:p w14:paraId="2F32D20E" w14:textId="1B7957CB" w:rsidR="00493382" w:rsidRDefault="00493382" w:rsidP="008D4A5F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lang w:val="en-GB"/>
        </w:rPr>
      </w:pPr>
      <w:r w:rsidRPr="00493382">
        <w:rPr>
          <w:rFonts w:asciiTheme="minorBidi" w:hAnsiTheme="minorBidi"/>
          <w:lang w:val="en-GB"/>
        </w:rPr>
        <w:t>Assist internal meeting</w:t>
      </w:r>
      <w:r w:rsidR="00D20E7A">
        <w:rPr>
          <w:rFonts w:asciiTheme="minorBidi" w:hAnsiTheme="minorBidi"/>
          <w:lang w:val="en-GB"/>
        </w:rPr>
        <w:t>s</w:t>
      </w:r>
      <w:r w:rsidRPr="00493382">
        <w:rPr>
          <w:rFonts w:asciiTheme="minorBidi" w:hAnsiTheme="minorBidi"/>
          <w:lang w:val="en-GB"/>
        </w:rPr>
        <w:t xml:space="preserve"> and take notes.</w:t>
      </w:r>
    </w:p>
    <w:p w14:paraId="3D8D80AD" w14:textId="1AFECD4C" w:rsidR="00493382" w:rsidRPr="00493382" w:rsidRDefault="00493382" w:rsidP="008D4A5F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lang w:val="en-GB"/>
        </w:rPr>
      </w:pPr>
      <w:r w:rsidRPr="00493382">
        <w:rPr>
          <w:rFonts w:asciiTheme="minorBidi" w:hAnsiTheme="minorBidi"/>
        </w:rPr>
        <w:t xml:space="preserve">Drafting routine correspondence and maintaining up-to-date work files for </w:t>
      </w:r>
      <w:proofErr w:type="gramStart"/>
      <w:r w:rsidRPr="00493382">
        <w:rPr>
          <w:rFonts w:asciiTheme="minorBidi" w:hAnsiTheme="minorBidi"/>
        </w:rPr>
        <w:t>the  Academic</w:t>
      </w:r>
      <w:proofErr w:type="gramEnd"/>
      <w:r w:rsidRPr="00493382">
        <w:rPr>
          <w:rFonts w:asciiTheme="minorBidi" w:hAnsiTheme="minorBidi"/>
        </w:rPr>
        <w:t xml:space="preserve"> Unit.</w:t>
      </w:r>
    </w:p>
    <w:p w14:paraId="2F4BB320" w14:textId="76C802E6" w:rsidR="00493382" w:rsidRPr="008D4A5F" w:rsidRDefault="00493382" w:rsidP="008D4A5F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lang w:val="en-GB"/>
        </w:rPr>
      </w:pPr>
      <w:r w:rsidRPr="00493382">
        <w:rPr>
          <w:rFonts w:asciiTheme="minorBidi" w:hAnsiTheme="minorBidi"/>
        </w:rPr>
        <w:t xml:space="preserve">Answer and direct incoming calls and suppliers to the respective IIJ staff member. </w:t>
      </w:r>
    </w:p>
    <w:p w14:paraId="4AA2E203" w14:textId="74DCBEC1" w:rsidR="008D4A5F" w:rsidRPr="008D4A5F" w:rsidRDefault="008D4A5F" w:rsidP="008D4A5F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lang w:val="en-GB"/>
        </w:rPr>
      </w:pPr>
      <w:proofErr w:type="gramStart"/>
      <w:r w:rsidRPr="008D4A5F">
        <w:rPr>
          <w:rFonts w:asciiTheme="minorBidi" w:hAnsiTheme="minorBidi"/>
          <w:lang w:val="en-GB"/>
        </w:rPr>
        <w:t>Provide assistance to</w:t>
      </w:r>
      <w:proofErr w:type="gramEnd"/>
      <w:r w:rsidRPr="008D4A5F">
        <w:rPr>
          <w:rFonts w:asciiTheme="minorBidi" w:hAnsiTheme="minorBidi"/>
          <w:lang w:val="en-GB"/>
        </w:rPr>
        <w:t xml:space="preserve"> the </w:t>
      </w:r>
      <w:r w:rsidR="006B6E62">
        <w:rPr>
          <w:rFonts w:asciiTheme="minorBidi" w:hAnsiTheme="minorBidi"/>
          <w:lang w:val="en-GB"/>
        </w:rPr>
        <w:t>Academic Unit in the preparation and delivery of</w:t>
      </w:r>
      <w:r w:rsidRPr="008D4A5F">
        <w:rPr>
          <w:rFonts w:asciiTheme="minorBidi" w:hAnsiTheme="minorBidi"/>
          <w:lang w:val="en-GB"/>
        </w:rPr>
        <w:t xml:space="preserve"> online</w:t>
      </w:r>
      <w:r w:rsidR="006B6E62">
        <w:rPr>
          <w:rFonts w:asciiTheme="minorBidi" w:hAnsiTheme="minorBidi"/>
          <w:lang w:val="en-GB"/>
        </w:rPr>
        <w:t xml:space="preserve"> and in-person</w:t>
      </w:r>
      <w:r w:rsidRPr="008D4A5F">
        <w:rPr>
          <w:rFonts w:asciiTheme="minorBidi" w:hAnsiTheme="minorBidi"/>
          <w:lang w:val="en-GB"/>
        </w:rPr>
        <w:t xml:space="preserve"> </w:t>
      </w:r>
      <w:r w:rsidR="006B6E62">
        <w:rPr>
          <w:rFonts w:asciiTheme="minorBidi" w:hAnsiTheme="minorBidi"/>
          <w:lang w:val="en-GB"/>
        </w:rPr>
        <w:t>course</w:t>
      </w:r>
      <w:r w:rsidRPr="008D4A5F">
        <w:rPr>
          <w:rFonts w:asciiTheme="minorBidi" w:hAnsiTheme="minorBidi"/>
          <w:lang w:val="en-GB"/>
        </w:rPr>
        <w:t xml:space="preserve"> activities</w:t>
      </w:r>
      <w:r w:rsidR="006B6E62">
        <w:rPr>
          <w:rFonts w:asciiTheme="minorBidi" w:hAnsiTheme="minorBidi"/>
          <w:lang w:val="en-GB"/>
        </w:rPr>
        <w:t>.</w:t>
      </w:r>
    </w:p>
    <w:p w14:paraId="72242B76" w14:textId="69730A07" w:rsidR="008D4A5F" w:rsidRPr="008D4A5F" w:rsidRDefault="008D4A5F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lang w:val="en-GB"/>
        </w:rPr>
      </w:pPr>
      <w:r w:rsidRPr="008D4A5F">
        <w:rPr>
          <w:rFonts w:asciiTheme="minorBidi" w:hAnsiTheme="minorBidi"/>
          <w:lang w:val="en-GB"/>
        </w:rPr>
        <w:t xml:space="preserve">Provide support on </w:t>
      </w:r>
      <w:r w:rsidR="006B6E62">
        <w:rPr>
          <w:rFonts w:asciiTheme="minorBidi" w:hAnsiTheme="minorBidi"/>
          <w:lang w:val="en-GB"/>
        </w:rPr>
        <w:t xml:space="preserve">maintaining and posting new content on the </w:t>
      </w:r>
      <w:r w:rsidRPr="008D4A5F">
        <w:rPr>
          <w:rFonts w:asciiTheme="minorBidi" w:hAnsiTheme="minorBidi"/>
          <w:lang w:val="en-GB"/>
        </w:rPr>
        <w:t>Canvas platform</w:t>
      </w:r>
      <w:r w:rsidR="006B6E62">
        <w:rPr>
          <w:rFonts w:asciiTheme="minorBidi" w:hAnsiTheme="minorBidi"/>
          <w:lang w:val="en-GB"/>
        </w:rPr>
        <w:t xml:space="preserve"> for courses and alumni networks.</w:t>
      </w:r>
    </w:p>
    <w:p w14:paraId="5D2F881E" w14:textId="19F81977" w:rsidR="00493382" w:rsidRPr="00933A2C" w:rsidRDefault="00493382" w:rsidP="008D4A5F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lang w:val="en-GB"/>
        </w:rPr>
      </w:pPr>
      <w:r w:rsidRPr="00493382">
        <w:rPr>
          <w:rFonts w:asciiTheme="minorBidi" w:hAnsiTheme="minorBidi"/>
        </w:rPr>
        <w:t xml:space="preserve">Preparing and processing IIJ travel arrangements for Academic Unit staff and participants. </w:t>
      </w:r>
    </w:p>
    <w:p w14:paraId="5DF59756" w14:textId="3A4B3069" w:rsidR="006B6E62" w:rsidRPr="00493382" w:rsidRDefault="006B6E62" w:rsidP="008D4A5F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lang w:val="en-GB"/>
        </w:rPr>
      </w:pPr>
      <w:r>
        <w:rPr>
          <w:rFonts w:asciiTheme="minorBidi" w:hAnsiTheme="minorBidi"/>
          <w:lang w:val="en-US"/>
        </w:rPr>
        <w:t>Liaising with course participants as needed for matters related to (for example) communications and outreach, GDPR and media release forms, course feedback, and technical or logistical support.</w:t>
      </w:r>
    </w:p>
    <w:p w14:paraId="47EF34F6" w14:textId="3D84E13B" w:rsidR="00493382" w:rsidRPr="00493382" w:rsidRDefault="00493382" w:rsidP="008D4A5F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lang w:val="en-GB"/>
        </w:rPr>
      </w:pPr>
      <w:r w:rsidRPr="00493382">
        <w:rPr>
          <w:rFonts w:asciiTheme="minorBidi" w:hAnsiTheme="minorBidi"/>
        </w:rPr>
        <w:t xml:space="preserve">Performing other administrative duties to support both the </w:t>
      </w:r>
      <w:proofErr w:type="spellStart"/>
      <w:r w:rsidRPr="00493382">
        <w:rPr>
          <w:rFonts w:asciiTheme="minorBidi" w:hAnsiTheme="minorBidi"/>
        </w:rPr>
        <w:t>IIJ’s</w:t>
      </w:r>
      <w:proofErr w:type="spellEnd"/>
      <w:r w:rsidRPr="00493382">
        <w:rPr>
          <w:rFonts w:asciiTheme="minorBidi" w:hAnsiTheme="minorBidi"/>
        </w:rPr>
        <w:t xml:space="preserve"> and the Academic Unit’s operational framework as required.</w:t>
      </w:r>
    </w:p>
    <w:p w14:paraId="5F78C548" w14:textId="10C09C84" w:rsidR="00493382" w:rsidRPr="001F09A6" w:rsidRDefault="00493382" w:rsidP="008D4A5F">
      <w:pPr>
        <w:jc w:val="both"/>
        <w:rPr>
          <w:rFonts w:asciiTheme="minorBidi" w:hAnsiTheme="minorBidi"/>
          <w:b/>
          <w:bCs/>
          <w:lang w:val="en-GB"/>
        </w:rPr>
      </w:pPr>
      <w:r w:rsidRPr="00493382">
        <w:rPr>
          <w:rFonts w:asciiTheme="minorBidi" w:hAnsiTheme="minorBidi"/>
          <w:b/>
          <w:bCs/>
        </w:rPr>
        <w:t>Budget and Finance</w:t>
      </w:r>
    </w:p>
    <w:p w14:paraId="0E4AA1A5" w14:textId="77777777" w:rsidR="00933A2C" w:rsidRPr="007D29A8" w:rsidRDefault="00933A2C" w:rsidP="008D4A5F">
      <w:pPr>
        <w:pStyle w:val="ListParagraph"/>
        <w:numPr>
          <w:ilvl w:val="0"/>
          <w:numId w:val="3"/>
        </w:numPr>
        <w:jc w:val="both"/>
        <w:rPr>
          <w:rFonts w:asciiTheme="minorBidi" w:hAnsiTheme="minorBidi"/>
          <w:b/>
          <w:bCs/>
        </w:rPr>
      </w:pPr>
      <w:r>
        <w:rPr>
          <w:rFonts w:asciiTheme="minorBidi" w:hAnsiTheme="minorBidi"/>
          <w:lang w:val="en-US"/>
        </w:rPr>
        <w:t xml:space="preserve">Assisting the </w:t>
      </w:r>
      <w:r w:rsidRPr="00493382">
        <w:rPr>
          <w:rFonts w:asciiTheme="minorBidi" w:hAnsiTheme="minorBidi"/>
        </w:rPr>
        <w:t xml:space="preserve">Financial Officer </w:t>
      </w:r>
      <w:r>
        <w:rPr>
          <w:rFonts w:asciiTheme="minorBidi" w:hAnsiTheme="minorBidi"/>
          <w:lang w:val="en-US"/>
        </w:rPr>
        <w:t xml:space="preserve">and the IIJ administrative team </w:t>
      </w:r>
      <w:r w:rsidRPr="00493382">
        <w:rPr>
          <w:rFonts w:asciiTheme="minorBidi" w:hAnsiTheme="minorBidi"/>
        </w:rPr>
        <w:t xml:space="preserve">with monitoring of budget expenditures. </w:t>
      </w:r>
    </w:p>
    <w:p w14:paraId="455D8605" w14:textId="0E71D24F" w:rsidR="00493382" w:rsidRPr="00493382" w:rsidRDefault="00493382" w:rsidP="008D4A5F">
      <w:pPr>
        <w:pStyle w:val="ListParagraph"/>
        <w:numPr>
          <w:ilvl w:val="0"/>
          <w:numId w:val="3"/>
        </w:numPr>
        <w:jc w:val="both"/>
        <w:rPr>
          <w:rFonts w:asciiTheme="minorBidi" w:hAnsiTheme="minorBidi"/>
          <w:b/>
          <w:bCs/>
        </w:rPr>
      </w:pPr>
      <w:r w:rsidRPr="00493382">
        <w:rPr>
          <w:rFonts w:asciiTheme="minorBidi" w:hAnsiTheme="minorBidi"/>
        </w:rPr>
        <w:t>Assisting the Programme Manager with the preparation of budgets</w:t>
      </w:r>
      <w:r w:rsidR="00933A2C">
        <w:rPr>
          <w:rFonts w:asciiTheme="minorBidi" w:hAnsiTheme="minorBidi"/>
          <w:lang w:val="en-US"/>
        </w:rPr>
        <w:t>.</w:t>
      </w:r>
      <w:r w:rsidRPr="00493382">
        <w:rPr>
          <w:rFonts w:asciiTheme="minorBidi" w:hAnsiTheme="minorBidi"/>
        </w:rPr>
        <w:t xml:space="preserve"> </w:t>
      </w:r>
    </w:p>
    <w:p w14:paraId="1A60F1AC" w14:textId="77777777" w:rsidR="00493382" w:rsidRPr="00493382" w:rsidRDefault="00493382" w:rsidP="008D4A5F">
      <w:pPr>
        <w:pStyle w:val="ListParagraph"/>
        <w:numPr>
          <w:ilvl w:val="0"/>
          <w:numId w:val="3"/>
        </w:numPr>
        <w:jc w:val="both"/>
        <w:rPr>
          <w:rFonts w:asciiTheme="minorBidi" w:hAnsiTheme="minorBidi"/>
          <w:b/>
          <w:bCs/>
        </w:rPr>
      </w:pPr>
      <w:r w:rsidRPr="00493382">
        <w:rPr>
          <w:rFonts w:asciiTheme="minorBidi" w:hAnsiTheme="minorBidi"/>
        </w:rPr>
        <w:t>Assisting day-to-day accounting functions, such as posting to the accounting system.</w:t>
      </w:r>
    </w:p>
    <w:p w14:paraId="4EFAA3C3" w14:textId="77777777" w:rsidR="00493382" w:rsidRPr="00493382" w:rsidRDefault="00493382" w:rsidP="008D4A5F">
      <w:pPr>
        <w:pStyle w:val="ListParagraph"/>
        <w:numPr>
          <w:ilvl w:val="0"/>
          <w:numId w:val="3"/>
        </w:numPr>
        <w:jc w:val="both"/>
        <w:rPr>
          <w:rFonts w:asciiTheme="minorBidi" w:hAnsiTheme="minorBidi"/>
          <w:b/>
          <w:bCs/>
        </w:rPr>
      </w:pPr>
      <w:r w:rsidRPr="00493382">
        <w:rPr>
          <w:rFonts w:asciiTheme="minorBidi" w:hAnsiTheme="minorBidi"/>
        </w:rPr>
        <w:t xml:space="preserve">Maintaining an organised filing system. </w:t>
      </w:r>
    </w:p>
    <w:p w14:paraId="2CE2ECDB" w14:textId="7CF3E92E" w:rsidR="00493382" w:rsidRPr="00933A2C" w:rsidRDefault="00493382" w:rsidP="008D4A5F">
      <w:pPr>
        <w:pStyle w:val="ListParagraph"/>
        <w:numPr>
          <w:ilvl w:val="0"/>
          <w:numId w:val="3"/>
        </w:numPr>
        <w:jc w:val="both"/>
        <w:rPr>
          <w:rFonts w:asciiTheme="minorBidi" w:hAnsiTheme="minorBidi"/>
          <w:b/>
          <w:bCs/>
        </w:rPr>
      </w:pPr>
      <w:r w:rsidRPr="00493382">
        <w:rPr>
          <w:rFonts w:asciiTheme="minorBidi" w:hAnsiTheme="minorBidi"/>
        </w:rPr>
        <w:t>Assisting with reconciliations of accounts.</w:t>
      </w:r>
    </w:p>
    <w:p w14:paraId="344592D5" w14:textId="2C3F6C90" w:rsidR="006B6E62" w:rsidRPr="00493382" w:rsidRDefault="006B6E62" w:rsidP="008D4A5F">
      <w:pPr>
        <w:pStyle w:val="ListParagraph"/>
        <w:numPr>
          <w:ilvl w:val="0"/>
          <w:numId w:val="3"/>
        </w:numPr>
        <w:jc w:val="both"/>
        <w:rPr>
          <w:rFonts w:asciiTheme="minorBidi" w:hAnsiTheme="minorBidi"/>
          <w:b/>
          <w:bCs/>
        </w:rPr>
      </w:pPr>
      <w:r>
        <w:rPr>
          <w:rFonts w:asciiTheme="minorBidi" w:hAnsiTheme="minorBidi"/>
          <w:lang w:val="en-US"/>
        </w:rPr>
        <w:t>Liaising with self-funded or third-party sponsored participants for payment of course fees.</w:t>
      </w:r>
    </w:p>
    <w:p w14:paraId="0DF87F35" w14:textId="13CA4BC8" w:rsidR="00B860E5" w:rsidRPr="00493382" w:rsidRDefault="00493382" w:rsidP="008D4A5F">
      <w:pPr>
        <w:pStyle w:val="ListParagraph"/>
        <w:numPr>
          <w:ilvl w:val="0"/>
          <w:numId w:val="3"/>
        </w:numPr>
        <w:jc w:val="both"/>
        <w:rPr>
          <w:rFonts w:asciiTheme="minorBidi" w:hAnsiTheme="minorBidi"/>
          <w:b/>
          <w:bCs/>
        </w:rPr>
      </w:pPr>
      <w:r w:rsidRPr="00493382">
        <w:rPr>
          <w:rFonts w:asciiTheme="minorBidi" w:hAnsiTheme="minorBidi"/>
        </w:rPr>
        <w:t>Preparing financial reports, as required.</w:t>
      </w:r>
    </w:p>
    <w:p w14:paraId="0107656A" w14:textId="06F2A005" w:rsidR="00493382" w:rsidRPr="00493382" w:rsidRDefault="00493382" w:rsidP="008D4A5F">
      <w:pPr>
        <w:jc w:val="both"/>
        <w:rPr>
          <w:rFonts w:asciiTheme="minorBidi" w:hAnsiTheme="minorBidi"/>
          <w:b/>
          <w:bCs/>
          <w:lang w:val="en-GB"/>
        </w:rPr>
      </w:pPr>
      <w:r w:rsidRPr="00493382">
        <w:rPr>
          <w:rFonts w:asciiTheme="minorBidi" w:hAnsiTheme="minorBidi"/>
          <w:b/>
          <w:bCs/>
        </w:rPr>
        <w:t>Contract Administration and Procurement</w:t>
      </w:r>
    </w:p>
    <w:p w14:paraId="4C52B52C" w14:textId="377DC484" w:rsidR="00493382" w:rsidRPr="00493382" w:rsidRDefault="00493382" w:rsidP="008D4A5F">
      <w:pPr>
        <w:pStyle w:val="ListParagraph"/>
        <w:numPr>
          <w:ilvl w:val="0"/>
          <w:numId w:val="4"/>
        </w:numPr>
        <w:jc w:val="both"/>
        <w:rPr>
          <w:rFonts w:asciiTheme="minorBidi" w:hAnsiTheme="minorBidi"/>
          <w:b/>
          <w:bCs/>
        </w:rPr>
      </w:pPr>
      <w:r w:rsidRPr="00493382">
        <w:rPr>
          <w:rFonts w:asciiTheme="minorBidi" w:hAnsiTheme="minorBidi"/>
        </w:rPr>
        <w:t xml:space="preserve">Assisting the Procurement Officer and the IIJ administrative team on procurement-related tasks. </w:t>
      </w:r>
    </w:p>
    <w:p w14:paraId="7F07C47C" w14:textId="06CDFD92" w:rsidR="00493382" w:rsidRPr="00493382" w:rsidRDefault="00493382" w:rsidP="008D4A5F">
      <w:pPr>
        <w:pStyle w:val="ListParagraph"/>
        <w:numPr>
          <w:ilvl w:val="0"/>
          <w:numId w:val="4"/>
        </w:numPr>
        <w:jc w:val="both"/>
        <w:rPr>
          <w:rFonts w:asciiTheme="minorBidi" w:hAnsiTheme="minorBidi"/>
          <w:b/>
          <w:bCs/>
        </w:rPr>
      </w:pPr>
      <w:r w:rsidRPr="00493382">
        <w:rPr>
          <w:rFonts w:asciiTheme="minorBidi" w:hAnsiTheme="minorBidi"/>
        </w:rPr>
        <w:t xml:space="preserve">Assisting with the day-to-day administration of contracts between the IIJ and external contractors for outsourced services. </w:t>
      </w:r>
    </w:p>
    <w:p w14:paraId="3D8F6143" w14:textId="69D9B329" w:rsidR="00493382" w:rsidRPr="00493382" w:rsidRDefault="00493382" w:rsidP="008D4A5F">
      <w:pPr>
        <w:pStyle w:val="ListParagraph"/>
        <w:numPr>
          <w:ilvl w:val="0"/>
          <w:numId w:val="4"/>
        </w:numPr>
        <w:jc w:val="both"/>
        <w:rPr>
          <w:rFonts w:asciiTheme="minorBidi" w:hAnsiTheme="minorBidi"/>
          <w:b/>
          <w:bCs/>
        </w:rPr>
      </w:pPr>
      <w:r w:rsidRPr="00493382">
        <w:rPr>
          <w:rFonts w:asciiTheme="minorBidi" w:hAnsiTheme="minorBidi"/>
        </w:rPr>
        <w:t>Issuing and recording purchase orders as required, timely maintenance of inventory and stationery records.</w:t>
      </w:r>
    </w:p>
    <w:p w14:paraId="7DFA2B70" w14:textId="7263DEB2" w:rsidR="00493382" w:rsidRDefault="00493382" w:rsidP="008D4A5F">
      <w:pPr>
        <w:jc w:val="both"/>
        <w:rPr>
          <w:rFonts w:asciiTheme="minorBidi" w:hAnsiTheme="minorBidi"/>
          <w:b/>
          <w:bCs/>
        </w:rPr>
      </w:pPr>
      <w:r w:rsidRPr="00493382">
        <w:rPr>
          <w:rFonts w:asciiTheme="minorBidi" w:hAnsiTheme="minorBidi"/>
          <w:b/>
          <w:bCs/>
        </w:rPr>
        <w:t>Human Resources</w:t>
      </w:r>
    </w:p>
    <w:p w14:paraId="5FBB1E29" w14:textId="3EE55B54" w:rsidR="00493382" w:rsidRPr="008D4A5F" w:rsidRDefault="00493382" w:rsidP="008D4A5F">
      <w:pPr>
        <w:pStyle w:val="ListParagraph"/>
        <w:numPr>
          <w:ilvl w:val="0"/>
          <w:numId w:val="5"/>
        </w:numPr>
        <w:jc w:val="both"/>
        <w:rPr>
          <w:rFonts w:asciiTheme="minorBidi" w:hAnsiTheme="minorBidi"/>
          <w:b/>
          <w:bCs/>
        </w:rPr>
      </w:pPr>
      <w:r w:rsidRPr="00493382">
        <w:rPr>
          <w:rFonts w:asciiTheme="minorBidi" w:hAnsiTheme="minorBidi"/>
        </w:rPr>
        <w:t>Assisting the HR Officer and the IIJ Administrative Unit on HR-related tasks, in particular the processing of administrative data and attendance-leave records</w:t>
      </w:r>
      <w:r>
        <w:rPr>
          <w:rFonts w:asciiTheme="minorBidi" w:hAnsiTheme="minorBidi"/>
          <w:lang w:val="en-GB"/>
        </w:rPr>
        <w:t>.</w:t>
      </w:r>
    </w:p>
    <w:p w14:paraId="77ED6317" w14:textId="77777777" w:rsidR="003E6004" w:rsidRDefault="003E6004" w:rsidP="008D4A5F">
      <w:pPr>
        <w:jc w:val="both"/>
        <w:rPr>
          <w:rFonts w:asciiTheme="minorBidi" w:hAnsiTheme="minorBidi"/>
          <w:b/>
          <w:bCs/>
          <w:color w:val="FF0000"/>
        </w:rPr>
      </w:pPr>
    </w:p>
    <w:p w14:paraId="3DB9FA9C" w14:textId="1CF82D45" w:rsidR="00493382" w:rsidRPr="00493382" w:rsidRDefault="00493382" w:rsidP="008D4A5F">
      <w:pPr>
        <w:jc w:val="both"/>
        <w:rPr>
          <w:rFonts w:asciiTheme="minorBidi" w:hAnsiTheme="minorBidi"/>
          <w:b/>
          <w:bCs/>
          <w:color w:val="FF0000"/>
        </w:rPr>
      </w:pPr>
      <w:r w:rsidRPr="00493382">
        <w:rPr>
          <w:rFonts w:asciiTheme="minorBidi" w:hAnsiTheme="minorBidi"/>
          <w:b/>
          <w:bCs/>
          <w:color w:val="FF0000"/>
        </w:rPr>
        <w:t xml:space="preserve">PERSON SPECIFICATION </w:t>
      </w:r>
    </w:p>
    <w:p w14:paraId="1F6932B3" w14:textId="77777777" w:rsidR="00493382" w:rsidRDefault="00493382" w:rsidP="008D4A5F">
      <w:pPr>
        <w:jc w:val="both"/>
        <w:rPr>
          <w:rFonts w:asciiTheme="minorBidi" w:hAnsiTheme="minorBidi"/>
        </w:rPr>
      </w:pPr>
      <w:r w:rsidRPr="00493382">
        <w:rPr>
          <w:rFonts w:asciiTheme="minorBidi" w:hAnsiTheme="minorBidi"/>
        </w:rPr>
        <w:t xml:space="preserve">The mandatory requirements for this role are as follows: </w:t>
      </w:r>
    </w:p>
    <w:p w14:paraId="762DB543" w14:textId="77777777" w:rsidR="002A3CDC" w:rsidRDefault="00493382" w:rsidP="008D4A5F">
      <w:pPr>
        <w:jc w:val="both"/>
        <w:rPr>
          <w:rFonts w:asciiTheme="minorBidi" w:hAnsiTheme="minorBidi"/>
          <w:b/>
          <w:bCs/>
          <w:lang w:val="en-GB"/>
        </w:rPr>
      </w:pPr>
      <w:r w:rsidRPr="00493382">
        <w:rPr>
          <w:rFonts w:asciiTheme="minorBidi" w:hAnsiTheme="minorBidi"/>
          <w:b/>
          <w:bCs/>
        </w:rPr>
        <w:t>Education</w:t>
      </w:r>
    </w:p>
    <w:p w14:paraId="2D739C97" w14:textId="02AFE838" w:rsidR="00A87DA4" w:rsidRPr="00AD106B" w:rsidRDefault="00493382" w:rsidP="00AD106B">
      <w:pPr>
        <w:jc w:val="both"/>
        <w:rPr>
          <w:rFonts w:asciiTheme="minorBidi" w:hAnsiTheme="minorBidi"/>
        </w:rPr>
      </w:pPr>
      <w:r w:rsidRPr="00493382">
        <w:rPr>
          <w:rFonts w:asciiTheme="minorBidi" w:hAnsiTheme="minorBidi"/>
        </w:rPr>
        <w:lastRenderedPageBreak/>
        <w:t>Bachelor’s degree in business administration or accounting or a related field or completed secondary education supplemented by formal training in secretarial administration support.</w:t>
      </w:r>
    </w:p>
    <w:p w14:paraId="29BF04D6" w14:textId="77777777" w:rsidR="00A87DA4" w:rsidRDefault="00A87DA4" w:rsidP="008D4A5F">
      <w:pPr>
        <w:jc w:val="both"/>
        <w:rPr>
          <w:rFonts w:asciiTheme="minorBidi" w:hAnsiTheme="minorBidi"/>
          <w:b/>
          <w:bCs/>
        </w:rPr>
      </w:pPr>
    </w:p>
    <w:p w14:paraId="7869141D" w14:textId="474B2B0A" w:rsidR="002A3CDC" w:rsidRPr="002A3CDC" w:rsidRDefault="002A3CDC" w:rsidP="008D4A5F">
      <w:pPr>
        <w:jc w:val="both"/>
        <w:rPr>
          <w:rFonts w:asciiTheme="minorBidi" w:hAnsiTheme="minorBidi"/>
          <w:b/>
          <w:bCs/>
        </w:rPr>
      </w:pPr>
      <w:r w:rsidRPr="002A3CDC">
        <w:rPr>
          <w:rFonts w:asciiTheme="minorBidi" w:hAnsiTheme="minorBidi"/>
          <w:b/>
          <w:bCs/>
        </w:rPr>
        <w:t>Work Experience</w:t>
      </w:r>
    </w:p>
    <w:p w14:paraId="713215A8" w14:textId="66A7BA50" w:rsidR="002A3CDC" w:rsidRDefault="002A3CDC" w:rsidP="008D4A5F">
      <w:pPr>
        <w:jc w:val="both"/>
        <w:rPr>
          <w:rFonts w:asciiTheme="minorBidi" w:hAnsiTheme="minorBidi"/>
        </w:rPr>
      </w:pPr>
      <w:r w:rsidRPr="002A3CDC">
        <w:rPr>
          <w:rFonts w:asciiTheme="minorBidi" w:hAnsiTheme="minorBidi"/>
        </w:rPr>
        <w:t xml:space="preserve"> A minimum of three years of relevant experience in secretarial or administrative support functions.</w:t>
      </w:r>
    </w:p>
    <w:p w14:paraId="4BA386CC" w14:textId="77777777" w:rsidR="008728F4" w:rsidRDefault="008728F4" w:rsidP="008D4A5F">
      <w:pPr>
        <w:jc w:val="both"/>
        <w:rPr>
          <w:rFonts w:asciiTheme="minorBidi" w:hAnsiTheme="minorBidi"/>
        </w:rPr>
      </w:pPr>
    </w:p>
    <w:p w14:paraId="1A24BBA0" w14:textId="444517BE" w:rsidR="002A3CDC" w:rsidRDefault="002A3CDC" w:rsidP="008D4A5F">
      <w:pPr>
        <w:jc w:val="both"/>
        <w:rPr>
          <w:rFonts w:asciiTheme="minorBidi" w:hAnsiTheme="minorBidi"/>
          <w:b/>
          <w:bCs/>
        </w:rPr>
      </w:pPr>
      <w:r w:rsidRPr="002A3CDC">
        <w:rPr>
          <w:rFonts w:asciiTheme="minorBidi" w:hAnsiTheme="minorBidi"/>
          <w:b/>
          <w:bCs/>
        </w:rPr>
        <w:t>Additional Qualifications</w:t>
      </w:r>
    </w:p>
    <w:p w14:paraId="73A44EC3" w14:textId="065E0A87" w:rsidR="002A3CDC" w:rsidRPr="002A3CDC" w:rsidRDefault="002A3CDC" w:rsidP="008D4A5F">
      <w:pPr>
        <w:pStyle w:val="ListParagraph"/>
        <w:numPr>
          <w:ilvl w:val="0"/>
          <w:numId w:val="5"/>
        </w:numPr>
        <w:jc w:val="both"/>
        <w:rPr>
          <w:rFonts w:asciiTheme="minorBidi" w:hAnsiTheme="minorBidi"/>
          <w:b/>
          <w:bCs/>
        </w:rPr>
      </w:pPr>
      <w:r w:rsidRPr="002A3CDC">
        <w:rPr>
          <w:rFonts w:asciiTheme="minorBidi" w:hAnsiTheme="minorBidi"/>
        </w:rPr>
        <w:t>Drafting and reporting skills.</w:t>
      </w:r>
    </w:p>
    <w:p w14:paraId="2687C97A" w14:textId="77777777" w:rsidR="002A3CDC" w:rsidRPr="002A3CDC" w:rsidRDefault="002A3CDC" w:rsidP="008D4A5F">
      <w:pPr>
        <w:pStyle w:val="ListParagraph"/>
        <w:numPr>
          <w:ilvl w:val="0"/>
          <w:numId w:val="5"/>
        </w:numPr>
        <w:jc w:val="both"/>
        <w:rPr>
          <w:rFonts w:asciiTheme="minorBidi" w:hAnsiTheme="minorBidi"/>
          <w:b/>
          <w:bCs/>
        </w:rPr>
      </w:pPr>
      <w:r w:rsidRPr="002A3CDC">
        <w:rPr>
          <w:rFonts w:asciiTheme="minorBidi" w:hAnsiTheme="minorBidi"/>
        </w:rPr>
        <w:t>Computer literacy, including Microsoft Office.</w:t>
      </w:r>
    </w:p>
    <w:p w14:paraId="6C2B78A6" w14:textId="77777777" w:rsidR="002A3CDC" w:rsidRPr="002A3CDC" w:rsidRDefault="002A3CDC" w:rsidP="008D4A5F">
      <w:pPr>
        <w:pStyle w:val="ListParagraph"/>
        <w:numPr>
          <w:ilvl w:val="0"/>
          <w:numId w:val="5"/>
        </w:numPr>
        <w:jc w:val="both"/>
        <w:rPr>
          <w:rFonts w:asciiTheme="minorBidi" w:hAnsiTheme="minorBidi"/>
          <w:b/>
          <w:bCs/>
        </w:rPr>
      </w:pPr>
      <w:r w:rsidRPr="002A3CDC">
        <w:rPr>
          <w:rFonts w:asciiTheme="minorBidi" w:hAnsiTheme="minorBidi"/>
        </w:rPr>
        <w:t>Professional fluency in English with excellent oral and written communication skills.</w:t>
      </w:r>
    </w:p>
    <w:p w14:paraId="7ED70D4E" w14:textId="77777777" w:rsidR="002A3CDC" w:rsidRPr="002A3CDC" w:rsidRDefault="002A3CDC" w:rsidP="008D4A5F">
      <w:pPr>
        <w:pStyle w:val="ListParagraph"/>
        <w:numPr>
          <w:ilvl w:val="0"/>
          <w:numId w:val="5"/>
        </w:numPr>
        <w:jc w:val="both"/>
        <w:rPr>
          <w:rFonts w:asciiTheme="minorBidi" w:hAnsiTheme="minorBidi"/>
          <w:b/>
          <w:bCs/>
        </w:rPr>
      </w:pPr>
      <w:r w:rsidRPr="002A3CDC">
        <w:rPr>
          <w:rFonts w:asciiTheme="minorBidi" w:hAnsiTheme="minorBidi"/>
        </w:rPr>
        <w:t>Demonstrated awareness of multicultural dynamics and the ability to work in a team, while establishing collaborative working relationships with persons from diverse cultural backgrounds.</w:t>
      </w:r>
    </w:p>
    <w:p w14:paraId="23C7C5C7" w14:textId="77777777" w:rsidR="002A3CDC" w:rsidRPr="002A3CDC" w:rsidRDefault="002A3CDC" w:rsidP="008D4A5F">
      <w:pPr>
        <w:pStyle w:val="ListParagraph"/>
        <w:numPr>
          <w:ilvl w:val="0"/>
          <w:numId w:val="5"/>
        </w:numPr>
        <w:jc w:val="both"/>
        <w:rPr>
          <w:rFonts w:asciiTheme="minorBidi" w:hAnsiTheme="minorBidi"/>
          <w:b/>
          <w:bCs/>
        </w:rPr>
      </w:pPr>
      <w:r w:rsidRPr="002A3CDC">
        <w:rPr>
          <w:rFonts w:asciiTheme="minorBidi" w:hAnsiTheme="minorBidi"/>
        </w:rPr>
        <w:t>Authorisation to work in Malta.</w:t>
      </w:r>
    </w:p>
    <w:p w14:paraId="5A2BF181" w14:textId="615F6ECE" w:rsidR="002A3CDC" w:rsidRPr="002A3CDC" w:rsidRDefault="002A3CDC" w:rsidP="008D4A5F">
      <w:pPr>
        <w:pStyle w:val="ListParagraph"/>
        <w:numPr>
          <w:ilvl w:val="0"/>
          <w:numId w:val="5"/>
        </w:numPr>
        <w:jc w:val="both"/>
        <w:rPr>
          <w:rFonts w:asciiTheme="minorBidi" w:hAnsiTheme="minorBidi"/>
          <w:b/>
          <w:bCs/>
        </w:rPr>
      </w:pPr>
      <w:r w:rsidRPr="002A3CDC">
        <w:rPr>
          <w:rFonts w:asciiTheme="minorBidi" w:hAnsiTheme="minorBidi"/>
        </w:rPr>
        <w:t>Knowledge of French or Arabic language skills.</w:t>
      </w:r>
    </w:p>
    <w:p w14:paraId="5BBFA7CE" w14:textId="77777777" w:rsidR="002A3CDC" w:rsidRDefault="002A3CDC" w:rsidP="008D4A5F">
      <w:pPr>
        <w:jc w:val="both"/>
        <w:rPr>
          <w:rFonts w:asciiTheme="minorBidi" w:hAnsiTheme="minorBidi"/>
          <w:b/>
          <w:bCs/>
          <w:color w:val="FF0000"/>
        </w:rPr>
      </w:pPr>
    </w:p>
    <w:p w14:paraId="6908E2B6" w14:textId="2056DBD6" w:rsidR="00EB4702" w:rsidRPr="00EB4702" w:rsidRDefault="002A3CDC" w:rsidP="00EB4702">
      <w:pPr>
        <w:jc w:val="both"/>
        <w:rPr>
          <w:rFonts w:asciiTheme="minorBidi" w:hAnsiTheme="minorBidi"/>
          <w:b/>
          <w:bCs/>
          <w:color w:val="FF0000"/>
        </w:rPr>
      </w:pPr>
      <w:r w:rsidRPr="002A3CDC">
        <w:rPr>
          <w:rFonts w:asciiTheme="minorBidi" w:hAnsiTheme="minorBidi"/>
          <w:b/>
          <w:bCs/>
          <w:color w:val="FF0000"/>
        </w:rPr>
        <w:t xml:space="preserve">DEADLINE: </w:t>
      </w:r>
    </w:p>
    <w:p w14:paraId="2436CF42" w14:textId="23D79409" w:rsidR="00EB4702" w:rsidRPr="00EB4702" w:rsidRDefault="00EB4702" w:rsidP="00EB4702">
      <w:pPr>
        <w:shd w:val="clear" w:color="auto" w:fill="FFFFFF"/>
        <w:jc w:val="both"/>
        <w:rPr>
          <w:rFonts w:ascii="Arial" w:hAnsi="Arial" w:cs="Arial"/>
          <w:bCs/>
        </w:rPr>
      </w:pPr>
      <w:r w:rsidRPr="00EB4702">
        <w:rPr>
          <w:rFonts w:ascii="Arial" w:hAnsi="Arial" w:cs="Arial"/>
          <w:bCs/>
        </w:rPr>
        <w:t xml:space="preserve">All interested applicants meeting the qualifications and personal specifications listed above </w:t>
      </w:r>
      <w:r w:rsidRPr="007D29A8">
        <w:rPr>
          <w:rFonts w:ascii="Arial" w:hAnsi="Arial" w:cs="Arial"/>
          <w:bCs/>
        </w:rPr>
        <w:t xml:space="preserve">are invited to submit a cover letter and resume/CV to the IIJ Executive Secretariat via </w:t>
      </w:r>
      <w:r w:rsidRPr="007D29A8">
        <w:rPr>
          <w:rFonts w:ascii="Arial" w:hAnsi="Arial" w:cs="Arial"/>
          <w:b/>
        </w:rPr>
        <w:t xml:space="preserve">HR@theiij.org (CET) </w:t>
      </w:r>
      <w:r w:rsidRPr="007D29A8">
        <w:rPr>
          <w:rFonts w:ascii="Arial" w:hAnsi="Arial" w:cs="Arial"/>
          <w:bCs/>
        </w:rPr>
        <w:t>clearly stating</w:t>
      </w:r>
      <w:r w:rsidRPr="007D29A8">
        <w:rPr>
          <w:rFonts w:ascii="Arial" w:hAnsi="Arial" w:cs="Arial"/>
          <w:b/>
        </w:rPr>
        <w:t xml:space="preserve"> “</w:t>
      </w:r>
      <w:r w:rsidRPr="007D29A8">
        <w:rPr>
          <w:rFonts w:ascii="Arial" w:hAnsi="Arial" w:cs="Arial"/>
          <w:b/>
          <w:lang w:val="en-US"/>
        </w:rPr>
        <w:t>AA</w:t>
      </w:r>
      <w:r w:rsidRPr="007D29A8">
        <w:rPr>
          <w:rFonts w:ascii="Arial" w:hAnsi="Arial" w:cs="Arial"/>
          <w:b/>
        </w:rPr>
        <w:t xml:space="preserve">01_AU2021” </w:t>
      </w:r>
      <w:r w:rsidRPr="007D29A8">
        <w:rPr>
          <w:rFonts w:ascii="Arial" w:hAnsi="Arial" w:cs="Arial"/>
          <w:bCs/>
        </w:rPr>
        <w:t>in the subject line. The vacancy shall remain open until filled.</w:t>
      </w:r>
      <w:r w:rsidRPr="00EB4702">
        <w:rPr>
          <w:rFonts w:ascii="Arial" w:hAnsi="Arial" w:cs="Arial"/>
          <w:bCs/>
        </w:rPr>
        <w:t xml:space="preserve"> </w:t>
      </w:r>
    </w:p>
    <w:p w14:paraId="1725E4A5" w14:textId="77777777" w:rsidR="00EB4702" w:rsidRPr="007C1BE8" w:rsidRDefault="00EB4702" w:rsidP="008D4A5F">
      <w:pPr>
        <w:shd w:val="clear" w:color="auto" w:fill="FFFFFF"/>
        <w:jc w:val="both"/>
        <w:rPr>
          <w:rFonts w:ascii="Arial" w:hAnsi="Arial" w:cs="Arial"/>
          <w:b/>
        </w:rPr>
      </w:pPr>
    </w:p>
    <w:p w14:paraId="1EDAE229" w14:textId="77777777" w:rsidR="00987402" w:rsidRPr="007C1BE8" w:rsidRDefault="00987402" w:rsidP="00987402">
      <w:pPr>
        <w:rPr>
          <w:rFonts w:ascii="Arial" w:hAnsi="Arial" w:cs="Arial"/>
        </w:rPr>
      </w:pPr>
    </w:p>
    <w:p w14:paraId="6DAF1136" w14:textId="287A32F4" w:rsidR="002A3CDC" w:rsidRPr="00987402" w:rsidRDefault="002A3CDC" w:rsidP="00987402">
      <w:pPr>
        <w:rPr>
          <w:rFonts w:asciiTheme="minorBidi" w:hAnsiTheme="minorBidi"/>
          <w:b/>
          <w:bCs/>
        </w:rPr>
      </w:pPr>
    </w:p>
    <w:sectPr w:rsidR="002A3CDC" w:rsidRPr="009874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4419"/>
    <w:multiLevelType w:val="hybridMultilevel"/>
    <w:tmpl w:val="2E5CE31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7582C"/>
    <w:multiLevelType w:val="hybridMultilevel"/>
    <w:tmpl w:val="EB6AF98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0642B"/>
    <w:multiLevelType w:val="hybridMultilevel"/>
    <w:tmpl w:val="019E4A8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A83B3D"/>
    <w:multiLevelType w:val="hybridMultilevel"/>
    <w:tmpl w:val="C29EC59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F489F"/>
    <w:multiLevelType w:val="hybridMultilevel"/>
    <w:tmpl w:val="9B8276F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W0NDM0MTM0MDUyNzRW0lEKTi0uzszPAykwrgUAODlM5ywAAAA="/>
  </w:docVars>
  <w:rsids>
    <w:rsidRoot w:val="00B860E5"/>
    <w:rsid w:val="000D513F"/>
    <w:rsid w:val="001F09A6"/>
    <w:rsid w:val="00262BAA"/>
    <w:rsid w:val="002A3CDC"/>
    <w:rsid w:val="002D2098"/>
    <w:rsid w:val="003A7109"/>
    <w:rsid w:val="003E6004"/>
    <w:rsid w:val="00493382"/>
    <w:rsid w:val="004E3023"/>
    <w:rsid w:val="006B6E62"/>
    <w:rsid w:val="00713CE1"/>
    <w:rsid w:val="007D29A8"/>
    <w:rsid w:val="0080067D"/>
    <w:rsid w:val="008728F4"/>
    <w:rsid w:val="008D4A5F"/>
    <w:rsid w:val="00933A2C"/>
    <w:rsid w:val="00987402"/>
    <w:rsid w:val="00A87DA4"/>
    <w:rsid w:val="00AD106B"/>
    <w:rsid w:val="00B860E5"/>
    <w:rsid w:val="00D20E7A"/>
    <w:rsid w:val="00D646F3"/>
    <w:rsid w:val="00DC39D3"/>
    <w:rsid w:val="00EB4702"/>
    <w:rsid w:val="00F9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6BF20"/>
  <w15:chartTrackingRefBased/>
  <w15:docId w15:val="{3F51D348-467B-4AA3-8F59-7492C759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3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62B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2B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2B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2B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2BAA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nhideWhenUsed/>
    <w:rsid w:val="00EB4702"/>
    <w:pPr>
      <w:spacing w:after="240" w:line="240" w:lineRule="auto"/>
      <w:jc w:val="both"/>
    </w:pPr>
    <w:rPr>
      <w:rFonts w:ascii="Times New Roman" w:eastAsia="Times New Roman" w:hAnsi="Times New Roman" w:cs="Times New Roman"/>
      <w:bCs/>
      <w:color w:val="404040" w:themeColor="text1" w:themeTint="BF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EB4702"/>
    <w:rPr>
      <w:rFonts w:ascii="Times New Roman" w:eastAsia="Times New Roman" w:hAnsi="Times New Roman" w:cs="Times New Roman"/>
      <w:bCs/>
      <w:color w:val="404040" w:themeColor="text1" w:themeTint="BF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B47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20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iij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825</Words>
  <Characters>4707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IIJ Academic Unit</dc:creator>
  <cp:keywords/>
  <dc:description/>
  <cp:lastModifiedBy>Office 2</cp:lastModifiedBy>
  <cp:revision>4</cp:revision>
  <cp:lastPrinted>2021-01-26T07:24:00Z</cp:lastPrinted>
  <dcterms:created xsi:type="dcterms:W3CDTF">2021-09-13T10:16:00Z</dcterms:created>
  <dcterms:modified xsi:type="dcterms:W3CDTF">2022-01-13T10:41:00Z</dcterms:modified>
</cp:coreProperties>
</file>